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300"/>
      </w:pPr>
      <w:r>
        <w:rPr>
          <w:rFonts w:ascii="Anonymous Pro" w:cs="Anonymous Pro" w:eastAsia="Anonymous Pro" w:hAnsi="Anonymous Pro"/>
          <w:b/>
          <w:bCs/>
          <w:color w:val="000000"/>
          <w:sz w:val="40"/>
          <w:szCs w:val="40"/>
        </w:rPr>
        <w:t xml:space="preserve">FINANCIAL AUTOMATION</w:t>
      </w:r>
    </w:p>
    <w:p>
      <w:pPr>
        <w:spacing w:after="60" w:before="0"/>
      </w:pPr>
      <w:r>
        <w:rPr>
          <w:rFonts w:ascii="Anonymous Pro" w:cs="Anonymous Pro" w:eastAsia="Anonymous Pro" w:hAnsi="Anonymous Pro"/>
          <w:color w:val="000000"/>
          <w:sz w:val="30"/>
          <w:szCs w:val="30"/>
        </w:rPr>
        <w:t xml:space="preserve">Phased Proposal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From manual number-crunching to a live financial operating system.</w:t>
      </w:r>
    </w:p>
    <w:p>
      <w:pPr>
        <w:pBdr>
          <w:bottom w:val="single" w:color="000000" w:sz="6" w:space="1"/>
        </w:pBdr>
        <w:spacing w:after="240" w:before="240"/>
      </w:pPr>
    </w:p>
    <w:p>
      <w:pPr>
        <w:spacing w:after="140" w:before="400"/>
      </w:pPr>
      <w:r>
        <w:rPr>
          <w:rFonts w:ascii="Anonymous Pro" w:cs="Anonymous Pro" w:eastAsia="Anonymous Pro" w:hAnsi="Anonymous Pro"/>
          <w:b/>
          <w:bCs/>
          <w:color w:val="000000"/>
          <w:sz w:val="24"/>
          <w:szCs w:val="24"/>
        </w:rPr>
        <w:t xml:space="preserve">THE PROBLEM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Every month, someone sits down and manually pulls trial balances from Sage for four entities (T+W Holdco, T+W, RHRN, Capitalize Media). They type them into spreadsheets. Key in hundreds of individual sales and cost transactions. Work out intercompany eliminations. Consolidate the group P&amp;L.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It works. But it is slow, mistakes creep in, and it ties up skilled people on data entry instead of analysis.</w:t>
      </w:r>
    </w:p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 audited the existing spreadsheets and confirmed six manual input points:</w:t>
      </w:r>
    </w:p>
    <w:p>
      <w:pPr>
        <w:spacing w:after="0" w:before="60"/>
      </w:pPr>
    </w:p>
    <w:tbl>
      <w:tblPr>
        <w:tblW w:type="dxa" w:w="9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640"/>
        <w:gridCol w:w="2600"/>
      </w:tblGrid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nonymous Pro" w:cs="Anonymous Pro" w:eastAsia="Anonymous Pro" w:hAnsi="Anonymous Pro"/>
                <w:b/>
                <w:bCs/>
                <w:color w:val="FFFFFF"/>
                <w:sz w:val="18"/>
                <w:szCs w:val="18"/>
              </w:rPr>
              <w:t xml:space="preserve">WHAT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nonymous Pro" w:cs="Anonymous Pro" w:eastAsia="Anonymous Pro" w:hAnsi="Anonymous Pro"/>
                <w:b/>
                <w:bCs/>
                <w:color w:val="FFFFFF"/>
                <w:sz w:val="18"/>
                <w:szCs w:val="18"/>
              </w:rPr>
              <w:t xml:space="preserve">WHERE IT GOES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nonymous Pro" w:cs="Anonymous Pro" w:eastAsia="Anonymous Pro" w:hAnsi="Anonymous Pro"/>
                <w:b/>
                <w:bCs/>
                <w:color w:val="FFFFFF"/>
                <w:sz w:val="18"/>
                <w:szCs w:val="18"/>
              </w:rPr>
              <w:t xml:space="preserve">VOLUME / MONTH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T+W trial balance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Back-end financials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~95 account lines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T+W sales transactions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Back-end sales input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~25 transactions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T+W cost of sales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Back-end cost input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~40 transactions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Capitalize Media financials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Monthly consolidation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~30 line items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RHRN adjustments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Monthly consolidation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Partial manual entries</w:t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Intercompany eliminations</w:t>
            </w:r>
          </w:p>
        </w:tc>
        <w:tc>
          <w:tcPr>
            <w:tcW w:type="dxa" w:w="36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Monthly eliminations sheet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~60 entries</w:t>
            </w:r>
          </w:p>
        </w:tc>
      </w:tr>
    </w:tbl>
    <w:p>
      <w:pPr>
        <w:spacing w:after="0" w:before="8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Everything downstream — income statements, YTD rollups, balance sheets, dashboards, the consolidated trial balance — calculates automatically once those inputs are in place. The formulas already work. The bottleneck is getting data in.</w:t>
      </w:r>
    </w:p>
    <w:p>
      <w:pPr>
        <w:pBdr>
          <w:bottom w:val="single" w:color="000000" w:sz="6" w:space="1"/>
        </w:pBdr>
        <w:spacing w:after="240" w:before="240"/>
      </w:pPr>
    </w:p>
    <w:p>
      <w:pPr>
        <w:spacing w:after="140" w:before="400"/>
      </w:pPr>
      <w:r>
        <w:rPr>
          <w:rFonts w:ascii="Anonymous Pro" w:cs="Anonymous Pro" w:eastAsia="Anonymous Pro" w:hAnsi="Anonymous Pro"/>
          <w:b/>
          <w:bCs/>
          <w:color w:val="000000"/>
          <w:sz w:val="24"/>
          <w:szCs w:val="24"/>
        </w:rPr>
        <w:t xml:space="preserve">THE SOLUTION — THREE PHASES</w:t>
      </w:r>
    </w:p>
    <w:p>
      <w:pPr>
        <w:spacing w:after="100" w:before="300"/>
      </w:pPr>
      <w:r>
        <w:rPr>
          <w:rFonts w:ascii="Anonymous Pro" w:cs="Anonymous Pro" w:eastAsia="Anonymous Pro" w:hAnsi="Anonymous Pro"/>
          <w:b/>
          <w:bCs/>
          <w:color w:val="000000"/>
          <w:sz w:val="22"/>
          <w:szCs w:val="22"/>
        </w:rPr>
        <w:t xml:space="preserve">Phase 1: Automate the Pull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Build a direct connection to Sage that automatically pulls trial balances and transaction-level detail (sales invoices, cost of sales, supplier invoices) for all four entities straight into the existing Google Sheets.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 new systems. No migration. The data lands exactly where it does today — the spreadsheet formulas keep working untouched.</w:t>
      </w:r>
    </w:p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Key requirement: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We need a walkthrough with the accountant. How each project is set up in Sage — project codes, which entity maps where, how streams are classified (Campaign, Content, Marketing). Without this, the automation cannot route transactions to the right place.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Intercompany eliminations: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By matching customer and supplier names across entities in Sage, we can flag intercompany transactions automatically and pre-fill the elimination workings. This is the hardest piece. It will need a reconciliation period to get right.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What this proves: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That we can reliably pull, classify, and place data exactly where the manual process does today.</w:t>
      </w:r>
    </w:p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Timeline: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~2 weeks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Deliverable: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Automated monthly data pull into existing sheets, matching current manual output.</w:t>
      </w:r>
    </w:p>
    <w:p>
      <w:pPr>
        <w:spacing w:after="0" w:before="100"/>
      </w:pPr>
    </w:p>
    <w:p>
      <w:pPr>
        <w:spacing w:after="100" w:before="300"/>
      </w:pPr>
      <w:r>
        <w:rPr>
          <w:rFonts w:ascii="Anonymous Pro" w:cs="Anonymous Pro" w:eastAsia="Anonymous Pro" w:hAnsi="Anonymous Pro"/>
          <w:b/>
          <w:bCs/>
          <w:color w:val="000000"/>
          <w:sz w:val="22"/>
          <w:szCs w:val="22"/>
        </w:rPr>
        <w:t xml:space="preserve">Phase 2: Live Finance Dashboard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Build a password-protected dashboard at finance.tandw.dev where approved stakeholders can see consolidated group financials — monthly P&amp;L, YTD performance, entity breakdowns, revenue by stream, gross profit trends, EBITDA, and balance sheet summaries.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What this changes: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Stakeholders get a link, not a spreadsheet. Live numbers. No more emailing Excel files around.</w:t>
      </w:r>
    </w:p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Timeline: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~1 week (after Phase 1 is stable)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Deliverable: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Live dashboard at finance.tandw.dev, password-protected, pulling from verified data.</w:t>
      </w:r>
    </w:p>
    <w:p>
      <w:pPr>
        <w:spacing w:after="0" w:before="100"/>
      </w:pPr>
    </w:p>
    <w:p>
      <w:pPr>
        <w:spacing w:after="100" w:before="300"/>
      </w:pPr>
      <w:r>
        <w:rPr>
          <w:rFonts w:ascii="Anonymous Pro" w:cs="Anonymous Pro" w:eastAsia="Anonymous Pro" w:hAnsi="Anonymous Pro"/>
          <w:b/>
          <w:bCs/>
          <w:color w:val="000000"/>
          <w:sz w:val="22"/>
          <w:szCs w:val="22"/>
        </w:rPr>
        <w:t xml:space="preserve">Phase 3: Central Financial Hub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Move all financial data into one structured, consolidated place. Every transaction from every entity — historical and going forward. One source of truth.</w:t>
      </w:r>
    </w:p>
    <w:p>
      <w:pPr>
        <w:spacing w:after="0" w:before="4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What this unlocks: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Custom analysis. Trend reporting across years. Project-level profitability. Client lifetime value. And critically — the foundation for Phase 4 and beyond.</w:t>
      </w:r>
    </w:p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Timeline: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~1 week (after Phase 2)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Deliverable: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Consolidated financial hub with flexible reporting built on top.</w:t>
      </w:r>
    </w:p>
    <w:p>
      <w:pPr>
        <w:spacing w:after="0" w:before="100"/>
      </w:pPr>
    </w:p>
    <w:p>
      <w:pPr>
        <w:spacing w:after="100" w:before="300"/>
      </w:pPr>
      <w:r>
        <w:rPr>
          <w:rFonts w:ascii="Anonymous Pro" w:cs="Anonymous Pro" w:eastAsia="Anonymous Pro" w:hAnsi="Anonymous Pro"/>
          <w:b/>
          <w:bCs/>
          <w:color w:val="000000"/>
          <w:sz w:val="22"/>
          <w:szCs w:val="22"/>
        </w:rPr>
        <w:t xml:space="preserve">Future: Automated Invoicing (Phase 4+)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Once the central hub and Sage connection are proven, the same setup can automate invoicing — generating and sending invoices through Sage, processing supplier invoices, and reconciling payments.</w:t>
      </w:r>
    </w:p>
    <w:p>
      <w:pPr>
        <w:pBdr>
          <w:bottom w:val="single" w:color="000000" w:sz="6" w:space="1"/>
        </w:pBdr>
        <w:spacing w:after="240" w:before="240"/>
      </w:pPr>
    </w:p>
    <w:p>
      <w:pPr>
        <w:spacing w:after="140" w:before="400"/>
      </w:pPr>
      <w:r>
        <w:rPr>
          <w:rFonts w:ascii="Anonymous Pro" w:cs="Anonymous Pro" w:eastAsia="Anonymous Pro" w:hAnsi="Anonymous Pro"/>
          <w:b/>
          <w:bCs/>
          <w:color w:val="000000"/>
          <w:sz w:val="24"/>
          <w:szCs w:val="24"/>
        </w:rPr>
        <w:t xml:space="preserve">WHAT WE NEED TO START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10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Sage access credentials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— registered for all four entities through the Sage developer programme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 walkthrough with the accountant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— project structure in Sage, entity mapping, how intercompany transactions are identified, stream classifications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One completed month as benchmark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— so we can verify the automation matches the manual output exactly before going live</w:t>
      </w:r>
    </w:p>
    <w:sectPr>
      <w:headerReference w:type="default" r:id="rId7"/>
      <w:footerReference w:type="default" r:id="rId8"/>
      <w:pgSz w:w="12240" w:h="15840" w:orient="portrait"/>
      <w:pgMar w:top="1440" w:right="13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666666"/>
        <w:sz w:val="15"/>
        <w:szCs w:val="15"/>
      </w:rPr>
      <w:t xml:space="preserve">April 2026  | 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0"/>
      <w:jc w:val="left"/>
    </w:pPr>
    <w:r>
      <w:rPr>
        <w:rFonts w:ascii="Anonymous Pro" w:cs="Anonymous Pro" w:eastAsia="Anonymous Pro" w:hAnsi="Anonymous Pro"/>
        <w:b/>
        <w:bCs/>
        <w:color w:val="000000"/>
        <w:sz w:val="20"/>
        <w:szCs w:val="20"/>
      </w:rPr>
      <w:t xml:space="preserve">T+W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2026-04-16T05:59:48.196Z</dcterms:created>
  <dcterms:modified xsi:type="dcterms:W3CDTF">2026-04-16T05:59:48.201Z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